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51</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393" w:right="394"/>
        <w:jc w:val="center"/>
      </w:pPr>
      <w:r>
        <w:rPr/>
        <w:t>INGHAM COUNTY BOARD OF COMMISSIONERS</w:t>
      </w:r>
    </w:p>
    <w:p>
      <w:pPr>
        <w:pStyle w:val="BodyText"/>
      </w:pPr>
    </w:p>
    <w:p>
      <w:pPr>
        <w:pStyle w:val="Heading1"/>
        <w:ind w:left="395"/>
      </w:pPr>
      <w:r>
        <w:rPr/>
        <w:t>RESOLUTION TO APPROVE 2027 INGHAM COUNTY PROBATE COURT CONTRACTS FOR GUARDIAN AD LITEM, ATTORNEY, AND GUARDIANSHIP REVIEW SERVICES</w:t>
      </w:r>
    </w:p>
    <w:p>
      <w:pPr>
        <w:pStyle w:val="BodyText"/>
        <w:rPr>
          <w:b/>
        </w:rPr>
      </w:pPr>
    </w:p>
    <w:p>
      <w:pPr>
        <w:spacing w:before="0"/>
        <w:ind w:left="394" w:right="394" w:firstLine="0"/>
        <w:jc w:val="center"/>
        <w:rPr>
          <w:b/>
          <w:sz w:val="24"/>
        </w:rPr>
      </w:pPr>
      <w:r>
        <w:rPr>
          <w:b/>
          <w:sz w:val="24"/>
        </w:rPr>
        <w:t>RESOLUTION #26 – 515</w:t>
      </w:r>
    </w:p>
    <w:p>
      <w:pPr>
        <w:pStyle w:val="BodyText"/>
        <w:rPr>
          <w:b/>
          <w:sz w:val="26"/>
        </w:rPr>
      </w:pPr>
    </w:p>
    <w:p>
      <w:pPr>
        <w:pStyle w:val="BodyText"/>
        <w:rPr>
          <w:b/>
          <w:sz w:val="22"/>
        </w:rPr>
      </w:pPr>
    </w:p>
    <w:p>
      <w:pPr>
        <w:pStyle w:val="BodyText"/>
        <w:ind w:left="120" w:right="1382"/>
      </w:pPr>
      <w:r>
        <w:rPr/>
        <w:t>WHEREAS, Michigan law requires the Probate Court to appoint guardians ad litem, attorneys, and guardianship review investigators in cases before the Court; and</w:t>
      </w:r>
    </w:p>
    <w:p>
      <w:pPr>
        <w:pStyle w:val="BodyText"/>
      </w:pPr>
    </w:p>
    <w:p>
      <w:pPr>
        <w:pStyle w:val="BodyText"/>
        <w:ind w:left="119" w:right="131"/>
      </w:pPr>
      <w:r>
        <w:rPr/>
        <w:t>WHEREAS, historically, the Probate Court and Ingham County, as its funding unit, have entered into contracts with local attorneys to provide guardian ad litem, court-appointed attorney, and guardianship review services on an annual basis; and</w:t>
      </w:r>
    </w:p>
    <w:p>
      <w:pPr>
        <w:pStyle w:val="BodyText"/>
      </w:pPr>
    </w:p>
    <w:p>
      <w:pPr>
        <w:pStyle w:val="BodyText"/>
        <w:ind w:left="119"/>
      </w:pPr>
      <w:r>
        <w:rPr/>
        <w:t>WHEREAS, the Probate Court desires to enter into contracts for 2027; and</w:t>
      </w:r>
    </w:p>
    <w:p>
      <w:pPr>
        <w:pStyle w:val="BodyText"/>
      </w:pPr>
    </w:p>
    <w:p>
      <w:pPr>
        <w:pStyle w:val="BodyText"/>
        <w:ind w:left="119"/>
      </w:pPr>
      <w:r>
        <w:rPr/>
        <w:t>WHEREAS, funding for these contracts is included in the 2027 Controller’s Recommended Budget.</w:t>
      </w:r>
    </w:p>
    <w:p>
      <w:pPr>
        <w:pStyle w:val="BodyText"/>
      </w:pPr>
    </w:p>
    <w:p>
      <w:pPr>
        <w:pStyle w:val="BodyText"/>
        <w:ind w:left="119" w:right="582"/>
      </w:pPr>
      <w:r>
        <w:rPr/>
        <w:t>THEREFORE BE IT RESOLVED, that the Ingham County Board of Commissioners approve entering into contracts for 2027 on the following terms:</w:t>
      </w:r>
    </w:p>
    <w:p>
      <w:pPr>
        <w:pStyle w:val="BodyText"/>
        <w:spacing w:before="2"/>
        <w:rPr>
          <w:sz w:val="26"/>
        </w:rPr>
      </w:pPr>
    </w:p>
    <w:tbl>
      <w:tblPr>
        <w:tblW w:w="0" w:type="auto"/>
        <w:jc w:val="left"/>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1"/>
        <w:gridCol w:w="5580"/>
        <w:gridCol w:w="3060"/>
      </w:tblGrid>
      <w:tr>
        <w:trPr>
          <w:trHeight w:val="280" w:hRule="atLeast"/>
        </w:trPr>
        <w:tc>
          <w:tcPr>
            <w:tcW w:w="1891" w:type="dxa"/>
            <w:tcBorders>
              <w:top w:val="nil"/>
              <w:left w:val="nil"/>
              <w:right w:val="nil"/>
            </w:tcBorders>
          </w:tcPr>
          <w:p>
            <w:pPr>
              <w:pStyle w:val="TableParagraph"/>
              <w:spacing w:line="261" w:lineRule="exact" w:before="0"/>
              <w:ind w:left="523" w:right="0"/>
              <w:jc w:val="left"/>
              <w:rPr>
                <w:sz w:val="24"/>
              </w:rPr>
            </w:pPr>
            <w:r>
              <w:rPr>
                <w:sz w:val="24"/>
              </w:rPr>
              <w:t>Attorney</w:t>
            </w:r>
          </w:p>
        </w:tc>
        <w:tc>
          <w:tcPr>
            <w:tcW w:w="5580" w:type="dxa"/>
            <w:tcBorders>
              <w:top w:val="nil"/>
              <w:left w:val="nil"/>
              <w:right w:val="nil"/>
            </w:tcBorders>
          </w:tcPr>
          <w:p>
            <w:pPr>
              <w:pStyle w:val="TableParagraph"/>
              <w:spacing w:line="261" w:lineRule="exact" w:before="0"/>
              <w:ind w:left="1943" w:right="1937"/>
              <w:rPr>
                <w:sz w:val="24"/>
              </w:rPr>
            </w:pPr>
            <w:r>
              <w:rPr>
                <w:sz w:val="24"/>
              </w:rPr>
              <w:t>Contract Purpose</w:t>
            </w:r>
          </w:p>
        </w:tc>
        <w:tc>
          <w:tcPr>
            <w:tcW w:w="3060" w:type="dxa"/>
            <w:tcBorders>
              <w:top w:val="nil"/>
              <w:left w:val="nil"/>
              <w:right w:val="nil"/>
            </w:tcBorders>
          </w:tcPr>
          <w:p>
            <w:pPr>
              <w:pStyle w:val="TableParagraph"/>
              <w:spacing w:line="261" w:lineRule="exact" w:before="0"/>
              <w:ind w:left="231" w:right="222"/>
              <w:rPr>
                <w:sz w:val="24"/>
              </w:rPr>
            </w:pPr>
            <w:r>
              <w:rPr>
                <w:sz w:val="24"/>
              </w:rPr>
              <w:t>Contract Shall Not Exceed</w:t>
            </w:r>
          </w:p>
        </w:tc>
      </w:tr>
      <w:tr>
        <w:trPr>
          <w:trHeight w:val="582" w:hRule="atLeast"/>
        </w:trPr>
        <w:tc>
          <w:tcPr>
            <w:tcW w:w="1891" w:type="dxa"/>
          </w:tcPr>
          <w:p>
            <w:pPr>
              <w:pStyle w:val="TableParagraph"/>
              <w:ind w:right="272"/>
              <w:jc w:val="right"/>
              <w:rPr>
                <w:sz w:val="24"/>
              </w:rPr>
            </w:pPr>
            <w:r>
              <w:rPr>
                <w:sz w:val="24"/>
              </w:rPr>
              <w:t>Robert Refior</w:t>
            </w:r>
          </w:p>
        </w:tc>
        <w:tc>
          <w:tcPr>
            <w:tcW w:w="5580" w:type="dxa"/>
          </w:tcPr>
          <w:p>
            <w:pPr>
              <w:pStyle w:val="TableParagraph"/>
              <w:spacing w:line="270" w:lineRule="atLeast" w:before="15"/>
              <w:ind w:left="1617" w:right="1587" w:firstLine="232"/>
              <w:jc w:val="left"/>
              <w:rPr>
                <w:sz w:val="24"/>
              </w:rPr>
            </w:pPr>
            <w:r>
              <w:rPr>
                <w:sz w:val="24"/>
              </w:rPr>
              <w:t>Guardian Ad Litem (Judge Garcia’s Docket)</w:t>
            </w:r>
          </w:p>
        </w:tc>
        <w:tc>
          <w:tcPr>
            <w:tcW w:w="3060" w:type="dxa"/>
          </w:tcPr>
          <w:p>
            <w:pPr>
              <w:pStyle w:val="TableParagraph"/>
              <w:ind w:left="1060"/>
              <w:rPr>
                <w:sz w:val="24"/>
              </w:rPr>
            </w:pPr>
            <w:r>
              <w:rPr>
                <w:sz w:val="24"/>
              </w:rPr>
              <w:t>$35,568</w:t>
            </w:r>
          </w:p>
        </w:tc>
      </w:tr>
      <w:tr>
        <w:trPr>
          <w:trHeight w:val="582" w:hRule="atLeast"/>
        </w:trPr>
        <w:tc>
          <w:tcPr>
            <w:tcW w:w="1891" w:type="dxa"/>
          </w:tcPr>
          <w:p>
            <w:pPr>
              <w:pStyle w:val="TableParagraph"/>
              <w:ind w:right="272"/>
              <w:jc w:val="right"/>
              <w:rPr>
                <w:sz w:val="24"/>
              </w:rPr>
            </w:pPr>
            <w:r>
              <w:rPr>
                <w:sz w:val="24"/>
              </w:rPr>
              <w:t>Robert Refior</w:t>
            </w:r>
          </w:p>
        </w:tc>
        <w:tc>
          <w:tcPr>
            <w:tcW w:w="5580" w:type="dxa"/>
          </w:tcPr>
          <w:p>
            <w:pPr>
              <w:pStyle w:val="TableParagraph"/>
              <w:spacing w:line="270" w:lineRule="atLeast" w:before="13"/>
              <w:ind w:left="1617" w:right="121" w:hanging="1467"/>
              <w:jc w:val="left"/>
              <w:rPr>
                <w:sz w:val="24"/>
              </w:rPr>
            </w:pPr>
            <w:r>
              <w:rPr>
                <w:sz w:val="24"/>
              </w:rPr>
              <w:t>Court Appointed Attorney for General Probate Matters (Judge Garcia’s Docket)</w:t>
            </w:r>
          </w:p>
        </w:tc>
        <w:tc>
          <w:tcPr>
            <w:tcW w:w="3060" w:type="dxa"/>
          </w:tcPr>
          <w:p>
            <w:pPr>
              <w:pStyle w:val="TableParagraph"/>
              <w:ind w:left="1060"/>
              <w:rPr>
                <w:sz w:val="24"/>
              </w:rPr>
            </w:pPr>
            <w:r>
              <w:rPr>
                <w:sz w:val="24"/>
              </w:rPr>
              <w:t>$8,448</w:t>
            </w:r>
          </w:p>
        </w:tc>
      </w:tr>
      <w:tr>
        <w:trPr>
          <w:trHeight w:val="580" w:hRule="atLeast"/>
        </w:trPr>
        <w:tc>
          <w:tcPr>
            <w:tcW w:w="1891" w:type="dxa"/>
          </w:tcPr>
          <w:p>
            <w:pPr>
              <w:pStyle w:val="TableParagraph"/>
              <w:spacing w:before="150"/>
              <w:ind w:right="193"/>
              <w:jc w:val="right"/>
              <w:rPr>
                <w:sz w:val="24"/>
              </w:rPr>
            </w:pPr>
            <w:r>
              <w:rPr>
                <w:sz w:val="24"/>
              </w:rPr>
              <w:t>Michael Staake</w:t>
            </w:r>
          </w:p>
        </w:tc>
        <w:tc>
          <w:tcPr>
            <w:tcW w:w="5580" w:type="dxa"/>
          </w:tcPr>
          <w:p>
            <w:pPr>
              <w:pStyle w:val="TableParagraph"/>
              <w:spacing w:line="270" w:lineRule="atLeast" w:before="13"/>
              <w:ind w:left="1516" w:right="1487" w:firstLine="333"/>
              <w:jc w:val="left"/>
              <w:rPr>
                <w:sz w:val="24"/>
              </w:rPr>
            </w:pPr>
            <w:r>
              <w:rPr>
                <w:sz w:val="24"/>
              </w:rPr>
              <w:t>Guardian Ad Litem (Judge Dunnings’ Docket)</w:t>
            </w:r>
          </w:p>
        </w:tc>
        <w:tc>
          <w:tcPr>
            <w:tcW w:w="3060" w:type="dxa"/>
          </w:tcPr>
          <w:p>
            <w:pPr>
              <w:pStyle w:val="TableParagraph"/>
              <w:spacing w:before="150"/>
              <w:ind w:left="1060"/>
              <w:rPr>
                <w:sz w:val="24"/>
              </w:rPr>
            </w:pPr>
            <w:r>
              <w:rPr>
                <w:sz w:val="24"/>
              </w:rPr>
              <w:t>$26,676</w:t>
            </w:r>
          </w:p>
        </w:tc>
      </w:tr>
      <w:tr>
        <w:trPr>
          <w:trHeight w:val="582" w:hRule="atLeast"/>
        </w:trPr>
        <w:tc>
          <w:tcPr>
            <w:tcW w:w="1891" w:type="dxa"/>
          </w:tcPr>
          <w:p>
            <w:pPr>
              <w:pStyle w:val="TableParagraph"/>
              <w:ind w:right="193"/>
              <w:jc w:val="right"/>
              <w:rPr>
                <w:sz w:val="24"/>
              </w:rPr>
            </w:pPr>
            <w:r>
              <w:rPr>
                <w:sz w:val="24"/>
              </w:rPr>
              <w:t>Michael Staake</w:t>
            </w:r>
          </w:p>
        </w:tc>
        <w:tc>
          <w:tcPr>
            <w:tcW w:w="5580" w:type="dxa"/>
          </w:tcPr>
          <w:p>
            <w:pPr>
              <w:pStyle w:val="TableParagraph"/>
              <w:spacing w:line="270" w:lineRule="atLeast" w:before="15"/>
              <w:ind w:left="1516" w:right="121" w:hanging="1366"/>
              <w:jc w:val="left"/>
              <w:rPr>
                <w:sz w:val="24"/>
              </w:rPr>
            </w:pPr>
            <w:r>
              <w:rPr>
                <w:sz w:val="24"/>
              </w:rPr>
              <w:t>Court Appointed Attorney for General Probate Matters (Judge Dunnings’ Docket)</w:t>
            </w:r>
          </w:p>
        </w:tc>
        <w:tc>
          <w:tcPr>
            <w:tcW w:w="3060" w:type="dxa"/>
          </w:tcPr>
          <w:p>
            <w:pPr>
              <w:pStyle w:val="TableParagraph"/>
              <w:ind w:left="1060"/>
              <w:rPr>
                <w:sz w:val="24"/>
              </w:rPr>
            </w:pPr>
            <w:r>
              <w:rPr>
                <w:sz w:val="24"/>
              </w:rPr>
              <w:t>$6,336</w:t>
            </w:r>
          </w:p>
        </w:tc>
      </w:tr>
      <w:tr>
        <w:trPr>
          <w:trHeight w:val="580" w:hRule="atLeast"/>
        </w:trPr>
        <w:tc>
          <w:tcPr>
            <w:tcW w:w="1891" w:type="dxa"/>
          </w:tcPr>
          <w:p>
            <w:pPr>
              <w:pStyle w:val="TableParagraph"/>
              <w:ind w:right="193"/>
              <w:jc w:val="right"/>
              <w:rPr>
                <w:sz w:val="24"/>
              </w:rPr>
            </w:pPr>
            <w:r>
              <w:rPr>
                <w:sz w:val="24"/>
              </w:rPr>
              <w:t>Michael Staake</w:t>
            </w:r>
          </w:p>
        </w:tc>
        <w:tc>
          <w:tcPr>
            <w:tcW w:w="5580" w:type="dxa"/>
          </w:tcPr>
          <w:p>
            <w:pPr>
              <w:pStyle w:val="TableParagraph"/>
              <w:spacing w:line="270" w:lineRule="atLeast" w:before="13"/>
              <w:ind w:left="1320" w:right="1290" w:firstLine="206"/>
              <w:jc w:val="left"/>
              <w:rPr>
                <w:sz w:val="24"/>
              </w:rPr>
            </w:pPr>
            <w:r>
              <w:rPr>
                <w:sz w:val="24"/>
              </w:rPr>
              <w:t>Court Appointed Attorney for Mental Illness Proceedings</w:t>
            </w:r>
          </w:p>
        </w:tc>
        <w:tc>
          <w:tcPr>
            <w:tcW w:w="3060" w:type="dxa"/>
          </w:tcPr>
          <w:p>
            <w:pPr>
              <w:pStyle w:val="TableParagraph"/>
              <w:ind w:left="1060"/>
              <w:rPr>
                <w:sz w:val="24"/>
              </w:rPr>
            </w:pPr>
            <w:r>
              <w:rPr>
                <w:sz w:val="24"/>
              </w:rPr>
              <w:t>$22,020</w:t>
            </w:r>
          </w:p>
        </w:tc>
      </w:tr>
      <w:tr>
        <w:trPr>
          <w:trHeight w:val="582" w:hRule="atLeast"/>
        </w:trPr>
        <w:tc>
          <w:tcPr>
            <w:tcW w:w="1891" w:type="dxa"/>
          </w:tcPr>
          <w:p>
            <w:pPr>
              <w:pStyle w:val="TableParagraph"/>
              <w:ind w:right="234"/>
              <w:jc w:val="right"/>
              <w:rPr>
                <w:sz w:val="24"/>
              </w:rPr>
            </w:pPr>
            <w:r>
              <w:rPr>
                <w:sz w:val="24"/>
              </w:rPr>
              <w:t>Heather Boyer</w:t>
            </w:r>
          </w:p>
        </w:tc>
        <w:tc>
          <w:tcPr>
            <w:tcW w:w="5580" w:type="dxa"/>
          </w:tcPr>
          <w:p>
            <w:pPr>
              <w:pStyle w:val="TableParagraph"/>
              <w:spacing w:line="270" w:lineRule="atLeast" w:before="15"/>
              <w:ind w:left="1516" w:right="1487" w:firstLine="333"/>
              <w:jc w:val="left"/>
              <w:rPr>
                <w:sz w:val="24"/>
              </w:rPr>
            </w:pPr>
            <w:r>
              <w:rPr>
                <w:sz w:val="24"/>
              </w:rPr>
              <w:t>Guardian Ad Litem (Judge Dunnings’ Docket)</w:t>
            </w:r>
          </w:p>
        </w:tc>
        <w:tc>
          <w:tcPr>
            <w:tcW w:w="3060" w:type="dxa"/>
          </w:tcPr>
          <w:p>
            <w:pPr>
              <w:pStyle w:val="TableParagraph"/>
              <w:ind w:left="1060"/>
              <w:rPr>
                <w:sz w:val="24"/>
              </w:rPr>
            </w:pPr>
            <w:r>
              <w:rPr>
                <w:sz w:val="24"/>
              </w:rPr>
              <w:t>$26,676</w:t>
            </w:r>
          </w:p>
        </w:tc>
      </w:tr>
      <w:tr>
        <w:trPr>
          <w:trHeight w:val="582" w:hRule="atLeast"/>
        </w:trPr>
        <w:tc>
          <w:tcPr>
            <w:tcW w:w="1891" w:type="dxa"/>
          </w:tcPr>
          <w:p>
            <w:pPr>
              <w:pStyle w:val="TableParagraph"/>
              <w:ind w:right="234"/>
              <w:jc w:val="right"/>
              <w:rPr>
                <w:sz w:val="24"/>
              </w:rPr>
            </w:pPr>
            <w:r>
              <w:rPr>
                <w:sz w:val="24"/>
              </w:rPr>
              <w:t>Heather Boyer</w:t>
            </w:r>
          </w:p>
        </w:tc>
        <w:tc>
          <w:tcPr>
            <w:tcW w:w="5580" w:type="dxa"/>
          </w:tcPr>
          <w:p>
            <w:pPr>
              <w:pStyle w:val="TableParagraph"/>
              <w:spacing w:line="270" w:lineRule="atLeast" w:before="15"/>
              <w:ind w:left="1516" w:right="121" w:hanging="1366"/>
              <w:jc w:val="left"/>
              <w:rPr>
                <w:sz w:val="24"/>
              </w:rPr>
            </w:pPr>
            <w:r>
              <w:rPr>
                <w:sz w:val="24"/>
              </w:rPr>
              <w:t>Court Appointed Attorney for General Probate Matters (Judge Dunnings’ Docket)</w:t>
            </w:r>
          </w:p>
        </w:tc>
        <w:tc>
          <w:tcPr>
            <w:tcW w:w="3060" w:type="dxa"/>
          </w:tcPr>
          <w:p>
            <w:pPr>
              <w:pStyle w:val="TableParagraph"/>
              <w:ind w:left="1060"/>
              <w:rPr>
                <w:sz w:val="24"/>
              </w:rPr>
            </w:pPr>
            <w:r>
              <w:rPr>
                <w:sz w:val="24"/>
              </w:rPr>
              <w:t>$6,336</w:t>
            </w:r>
          </w:p>
        </w:tc>
      </w:tr>
      <w:tr>
        <w:trPr>
          <w:trHeight w:val="304" w:hRule="atLeast"/>
        </w:trPr>
        <w:tc>
          <w:tcPr>
            <w:tcW w:w="1891" w:type="dxa"/>
          </w:tcPr>
          <w:p>
            <w:pPr>
              <w:pStyle w:val="TableParagraph"/>
              <w:spacing w:line="271" w:lineRule="exact" w:before="13"/>
              <w:ind w:right="234"/>
              <w:jc w:val="right"/>
              <w:rPr>
                <w:sz w:val="24"/>
              </w:rPr>
            </w:pPr>
            <w:r>
              <w:rPr>
                <w:sz w:val="24"/>
              </w:rPr>
              <w:t>Heather Boyer</w:t>
            </w:r>
          </w:p>
        </w:tc>
        <w:tc>
          <w:tcPr>
            <w:tcW w:w="5580" w:type="dxa"/>
          </w:tcPr>
          <w:p>
            <w:pPr>
              <w:pStyle w:val="TableParagraph"/>
              <w:spacing w:line="271" w:lineRule="exact" w:before="13"/>
              <w:ind w:left="269" w:right="260"/>
              <w:rPr>
                <w:sz w:val="24"/>
              </w:rPr>
            </w:pPr>
            <w:r>
              <w:rPr>
                <w:sz w:val="24"/>
              </w:rPr>
              <w:t>Provide Statutorily Required Guardianship Reviews</w:t>
            </w:r>
          </w:p>
        </w:tc>
        <w:tc>
          <w:tcPr>
            <w:tcW w:w="3060" w:type="dxa"/>
          </w:tcPr>
          <w:p>
            <w:pPr>
              <w:pStyle w:val="TableParagraph"/>
              <w:spacing w:line="271" w:lineRule="exact" w:before="13"/>
              <w:ind w:left="1060"/>
              <w:rPr>
                <w:sz w:val="24"/>
              </w:rPr>
            </w:pPr>
            <w:r>
              <w:rPr>
                <w:sz w:val="24"/>
              </w:rPr>
              <w:t>$30,804</w:t>
            </w:r>
          </w:p>
        </w:tc>
      </w:tr>
      <w:tr>
        <w:trPr>
          <w:trHeight w:val="306" w:hRule="atLeast"/>
        </w:trPr>
        <w:tc>
          <w:tcPr>
            <w:tcW w:w="7471" w:type="dxa"/>
            <w:gridSpan w:val="2"/>
            <w:tcBorders>
              <w:left w:val="nil"/>
              <w:bottom w:val="nil"/>
            </w:tcBorders>
          </w:tcPr>
          <w:p>
            <w:pPr>
              <w:pStyle w:val="TableParagraph"/>
              <w:spacing w:line="271" w:lineRule="exact" w:before="15"/>
              <w:ind w:right="97"/>
              <w:jc w:val="right"/>
              <w:rPr>
                <w:sz w:val="24"/>
              </w:rPr>
            </w:pPr>
            <w:r>
              <w:rPr>
                <w:sz w:val="24"/>
              </w:rPr>
              <w:t>Total:</w:t>
            </w:r>
          </w:p>
        </w:tc>
        <w:tc>
          <w:tcPr>
            <w:tcW w:w="3060" w:type="dxa"/>
          </w:tcPr>
          <w:p>
            <w:pPr>
              <w:pStyle w:val="TableParagraph"/>
              <w:spacing w:line="271" w:lineRule="exact" w:before="15"/>
              <w:ind w:left="1060"/>
              <w:rPr>
                <w:sz w:val="24"/>
              </w:rPr>
            </w:pPr>
            <w:r>
              <w:rPr>
                <w:sz w:val="24"/>
              </w:rPr>
              <w:t>$162,864</w:t>
            </w:r>
          </w:p>
        </w:tc>
      </w:tr>
    </w:tbl>
    <w:p>
      <w:pPr>
        <w:pStyle w:val="BodyText"/>
        <w:spacing w:before="10"/>
        <w:rPr>
          <w:sz w:val="23"/>
        </w:rPr>
      </w:pPr>
    </w:p>
    <w:p>
      <w:pPr>
        <w:pStyle w:val="BodyText"/>
        <w:ind w:left="120" w:right="142"/>
      </w:pPr>
      <w:r>
        <w:rPr/>
        <w:t>BE IT FURTHER RESOLVED, that the Chairperson of the Ingham County Board of Commissioners is authorized to sign any necessary contract documents consistent with this resolution upon approval as to form by the County Attorney.</w:t>
      </w:r>
    </w:p>
    <w:p>
      <w:pPr>
        <w:spacing w:after="0"/>
        <w:sectPr>
          <w:type w:val="continuous"/>
          <w:pgSz w:w="12240" w:h="15840"/>
          <w:pgMar w:top="1360" w:bottom="280" w:left="600" w:right="600"/>
        </w:sectPr>
      </w:pPr>
    </w:p>
    <w:p>
      <w:pPr>
        <w:pStyle w:val="BodyText"/>
        <w:spacing w:before="10"/>
        <w:rPr>
          <w:sz w:val="10"/>
        </w:rPr>
      </w:pPr>
    </w:p>
    <w:p>
      <w:pPr>
        <w:spacing w:before="9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ind w:left="394" w:right="394"/>
      <w:jc w:val="center"/>
      <w:outlineLvl w:val="1"/>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spacing w:before="152"/>
      <w:ind w:right="1050"/>
      <w:jc w:val="center"/>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2026-10-14T17:21:56Z</dcterms:created>
  <dcterms:modified xsi:type="dcterms:W3CDTF">2026-10-14T17:21:56Z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